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left"/>
        <w:rPr>
          <w:b w:val="1"/>
          <w:color w:val="ff0000"/>
          <w:sz w:val="40"/>
          <w:szCs w:val="40"/>
        </w:rPr>
      </w:pPr>
      <w:r w:rsidDel="00000000" w:rsidR="00000000" w:rsidRPr="00000000">
        <w:rPr>
          <w:rtl w:val="0"/>
        </w:rPr>
      </w:r>
    </w:p>
    <w:p w:rsidR="00000000" w:rsidDel="00000000" w:rsidP="00000000" w:rsidRDefault="00000000" w:rsidRPr="00000000" w14:paraId="00000002">
      <w:pPr>
        <w:jc w:val="center"/>
        <w:rPr>
          <w:color w:val="ff0000"/>
          <w:sz w:val="52"/>
          <w:szCs w:val="52"/>
        </w:rPr>
      </w:pPr>
      <w:r w:rsidDel="00000000" w:rsidR="00000000" w:rsidRPr="00000000">
        <w:rPr>
          <w:color w:val="ff0000"/>
          <w:sz w:val="52"/>
          <w:szCs w:val="52"/>
          <w:rtl w:val="0"/>
        </w:rPr>
        <w:t xml:space="preserve">Cahier des Charges Techniques - SAE S5/S6</w:t>
      </w:r>
    </w:p>
    <w:p w:rsidR="00000000" w:rsidDel="00000000" w:rsidP="00000000" w:rsidRDefault="00000000" w:rsidRPr="00000000" w14:paraId="00000003">
      <w:pPr>
        <w:pStyle w:val="Title"/>
        <w:jc w:val="left"/>
        <w:rPr/>
      </w:pPr>
      <w:bookmarkStart w:colFirst="0" w:colLast="0" w:name="_dn1nsq1ttems" w:id="0"/>
      <w:bookmarkEnd w:id="0"/>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Title"/>
        <w:spacing w:after="160" w:line="259" w:lineRule="auto"/>
        <w:jc w:val="center"/>
        <w:rPr/>
      </w:pPr>
      <w:bookmarkStart w:colFirst="0" w:colLast="0" w:name="_6cz09f7yfxvy" w:id="1"/>
      <w:bookmarkEnd w:id="1"/>
      <w:r w:rsidDel="00000000" w:rsidR="00000000" w:rsidRPr="00000000">
        <w:rPr>
          <w:rtl w:val="0"/>
        </w:rPr>
        <w:t xml:space="preserve">Tableau des matières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F">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l7z4sm73kc1q">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I - Introduction du produit</w:t>
              <w:tab/>
            </w:r>
          </w:hyperlink>
          <w:r w:rsidDel="00000000" w:rsidR="00000000" w:rsidRPr="00000000">
            <w:fldChar w:fldCharType="begin"/>
            <w:instrText xml:space="preserve"> PAGEREF _l7z4sm73kc1q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0">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6"/>
              <w:szCs w:val="26"/>
              <w:u w:val="none"/>
              <w:shd w:fill="auto" w:val="clear"/>
              <w:vertAlign w:val="baseline"/>
            </w:rPr>
          </w:pPr>
          <w:hyperlink w:anchor="_yycb1qjw6s85">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1. Contexte de la SAE</w:t>
              <w:tab/>
              <w:t xml:space="preserve">2</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6"/>
              <w:szCs w:val="26"/>
              <w:u w:val="none"/>
              <w:shd w:fill="auto" w:val="clear"/>
              <w:vertAlign w:val="baseline"/>
            </w:rPr>
          </w:pPr>
          <w:hyperlink w:anchor="_v7ap0q4krokt">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2. Objectifs du produit</w:t>
              <w:tab/>
              <w:t xml:space="preserve">2</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e7bibw3ie586">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figure 1: composition d’une guitare</w:t>
            </w:r>
          </w:hyperlink>
          <w:hyperlink w:anchor="_e7bibw3ie58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9s8q57wooka">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II - Schématisation des fonctions</w:t>
              <w:tab/>
              <w:t xml:space="preserve">4</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6"/>
              <w:szCs w:val="26"/>
              <w:u w:val="none"/>
              <w:shd w:fill="auto" w:val="clear"/>
              <w:vertAlign w:val="baseline"/>
            </w:rPr>
          </w:pPr>
          <w:hyperlink w:anchor="_r7370id3e0sk">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1. Méthode FAST</w:t>
              <w:tab/>
              <w:t xml:space="preserve">4</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6"/>
              <w:szCs w:val="26"/>
              <w:u w:val="none"/>
              <w:shd w:fill="auto" w:val="clear"/>
              <w:vertAlign w:val="baseline"/>
            </w:rPr>
          </w:pPr>
          <w:hyperlink w:anchor="_mhu704qdw20c">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figure 2: Schéma FAST des fonctions techniques</w:t>
              <w:tab/>
              <w:t xml:space="preserve">4</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6"/>
              <w:szCs w:val="26"/>
              <w:u w:val="none"/>
              <w:shd w:fill="auto" w:val="clear"/>
              <w:vertAlign w:val="baseline"/>
            </w:rPr>
          </w:pPr>
          <w:hyperlink w:anchor="_5mmp2qbjud6x">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2. Organigramme</w:t>
              <w:tab/>
              <w:t xml:space="preserve">4</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jivl0t7nnfit">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figure 3: Organigramme Technique</w:t>
            </w:r>
          </w:hyperlink>
          <w:hyperlink w:anchor="_jivl0t7nnfit">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ab/>
            </w:r>
          </w:hyperlink>
          <w:r w:rsidDel="00000000" w:rsidR="00000000" w:rsidRPr="00000000">
            <w:fldChar w:fldCharType="begin"/>
            <w:instrText xml:space="preserve"> PAGEREF _jivl0t7nnfit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z3fwi8bb3up">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III - Structuration des missions durant l’année</w:t>
              <w:tab/>
              <w:t xml:space="preserve">5</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4a00wf7gjz7v">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IV - Sources</w:t>
              <w:tab/>
              <w:t xml:space="preserve">5</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jc w:val="center"/>
        <w:rPr/>
      </w:pPr>
      <w:r w:rsidDel="00000000" w:rsidR="00000000" w:rsidRPr="00000000">
        <w:rPr>
          <w:rtl w:val="0"/>
        </w:rPr>
      </w:r>
    </w:p>
    <w:p w:rsidR="00000000" w:rsidDel="00000000" w:rsidP="00000000" w:rsidRDefault="00000000" w:rsidRPr="00000000" w14:paraId="0000001C">
      <w:pPr>
        <w:jc w:val="center"/>
        <w:rPr/>
      </w:pPr>
      <w:r w:rsidDel="00000000" w:rsidR="00000000" w:rsidRPr="00000000">
        <w:rPr>
          <w:rtl w:val="0"/>
        </w:rPr>
      </w:r>
    </w:p>
    <w:p w:rsidR="00000000" w:rsidDel="00000000" w:rsidP="00000000" w:rsidRDefault="00000000" w:rsidRPr="00000000" w14:paraId="0000001D">
      <w:pPr>
        <w:jc w:val="left"/>
        <w:rPr/>
      </w:pPr>
      <w:r w:rsidDel="00000000" w:rsidR="00000000" w:rsidRPr="00000000">
        <w:rPr>
          <w:rtl w:val="0"/>
        </w:rPr>
      </w:r>
    </w:p>
    <w:p w:rsidR="00000000" w:rsidDel="00000000" w:rsidP="00000000" w:rsidRDefault="00000000" w:rsidRPr="00000000" w14:paraId="0000001E">
      <w:pPr>
        <w:jc w:val="left"/>
        <w:rPr/>
      </w:pPr>
      <w:r w:rsidDel="00000000" w:rsidR="00000000" w:rsidRPr="00000000">
        <w:rPr>
          <w:rtl w:val="0"/>
        </w:rPr>
      </w:r>
    </w:p>
    <w:p w:rsidR="00000000" w:rsidDel="00000000" w:rsidP="00000000" w:rsidRDefault="00000000" w:rsidRPr="00000000" w14:paraId="0000001F">
      <w:pPr>
        <w:spacing w:after="160" w:line="259" w:lineRule="auto"/>
        <w:jc w:val="right"/>
        <w:rPr>
          <w:rFonts w:ascii="Calibri" w:cs="Calibri" w:eastAsia="Calibri" w:hAnsi="Calibri"/>
        </w:rPr>
      </w:pPr>
      <w:r w:rsidDel="00000000" w:rsidR="00000000" w:rsidRPr="00000000">
        <w:rPr>
          <w:rFonts w:ascii="Calibri" w:cs="Calibri" w:eastAsia="Calibri" w:hAnsi="Calibri"/>
        </w:rPr>
        <w:drawing>
          <wp:inline distB="0" distT="0" distL="0" distR="0">
            <wp:extent cx="2286000" cy="1057275"/>
            <wp:effectExtent b="0" l="0" r="0" t="0"/>
            <wp:docPr descr="IMG_256" id="3" name="image2.png"/>
            <a:graphic>
              <a:graphicData uri="http://schemas.openxmlformats.org/drawingml/2006/picture">
                <pic:pic>
                  <pic:nvPicPr>
                    <pic:cNvPr descr="IMG_256" id="0" name="image2.png"/>
                    <pic:cNvPicPr preferRelativeResize="0"/>
                  </pic:nvPicPr>
                  <pic:blipFill>
                    <a:blip r:embed="rId6"/>
                    <a:srcRect b="0" l="0" r="0" t="0"/>
                    <a:stretch>
                      <a:fillRect/>
                    </a:stretch>
                  </pic:blipFill>
                  <pic:spPr>
                    <a:xfrm>
                      <a:off x="0" y="0"/>
                      <a:ext cx="2286000" cy="1057275"/>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pStyle w:val="Heading1"/>
        <w:spacing w:after="160" w:line="259" w:lineRule="auto"/>
        <w:rPr/>
      </w:pPr>
      <w:bookmarkStart w:colFirst="0" w:colLast="0" w:name="_l7z4sm73kc1q" w:id="2"/>
      <w:bookmarkEnd w:id="2"/>
      <w:r w:rsidDel="00000000" w:rsidR="00000000" w:rsidRPr="00000000">
        <w:rPr>
          <w:rtl w:val="0"/>
        </w:rPr>
        <w:t xml:space="preserve">I - Introduction du produit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sz w:val="26"/>
          <w:szCs w:val="26"/>
        </w:rPr>
      </w:pPr>
      <w:r w:rsidDel="00000000" w:rsidR="00000000" w:rsidRPr="00000000">
        <w:rPr>
          <w:sz w:val="26"/>
          <w:szCs w:val="26"/>
          <w:rtl w:val="0"/>
        </w:rPr>
        <w:t xml:space="preserve">Ce projet s’inscrit dans la démarche de situation d’apprentissage et d’évaluation (SAE) avec comme objectif principal de créer un instrument de musique qui peut être transporté.</w:t>
      </w:r>
    </w:p>
    <w:p w:rsidR="00000000" w:rsidDel="00000000" w:rsidP="00000000" w:rsidRDefault="00000000" w:rsidRPr="00000000" w14:paraId="00000023">
      <w:pPr>
        <w:rPr>
          <w:sz w:val="26"/>
          <w:szCs w:val="26"/>
        </w:rPr>
      </w:pPr>
      <w:r w:rsidDel="00000000" w:rsidR="00000000" w:rsidRPr="00000000">
        <w:rPr>
          <w:sz w:val="26"/>
          <w:szCs w:val="26"/>
          <w:rtl w:val="0"/>
        </w:rPr>
        <w:t xml:space="preserve">Dans le cas de notre groupe, une guitare électro-acoustique a été choisie.</w:t>
      </w:r>
    </w:p>
    <w:p w:rsidR="00000000" w:rsidDel="00000000" w:rsidP="00000000" w:rsidRDefault="00000000" w:rsidRPr="00000000" w14:paraId="00000024">
      <w:pPr>
        <w:rPr>
          <w:sz w:val="26"/>
          <w:szCs w:val="26"/>
        </w:rPr>
      </w:pPr>
      <w:r w:rsidDel="00000000" w:rsidR="00000000" w:rsidRPr="00000000">
        <w:rPr>
          <w:rtl w:val="0"/>
        </w:rPr>
      </w:r>
    </w:p>
    <w:p w:rsidR="00000000" w:rsidDel="00000000" w:rsidP="00000000" w:rsidRDefault="00000000" w:rsidRPr="00000000" w14:paraId="00000025">
      <w:pPr>
        <w:rPr>
          <w:sz w:val="26"/>
          <w:szCs w:val="26"/>
        </w:rPr>
      </w:pPr>
      <w:r w:rsidDel="00000000" w:rsidR="00000000" w:rsidRPr="00000000">
        <w:rPr>
          <w:sz w:val="26"/>
          <w:szCs w:val="26"/>
          <w:rtl w:val="0"/>
        </w:rPr>
        <w:t xml:space="preserve">A la suite de ce texte sera expliqué dans les grandes lignes les fonctions que cette guitare devra remplir avec ses objectifs, les notions nécessaires, et une schématisation du contexte pour pouvoir simplifier les aspects techniques du produit.</w:t>
      </w:r>
      <w:r w:rsidDel="00000000" w:rsidR="00000000" w:rsidRPr="00000000">
        <w:rPr>
          <w:rtl w:val="0"/>
        </w:rPr>
      </w:r>
    </w:p>
    <w:p w:rsidR="00000000" w:rsidDel="00000000" w:rsidP="00000000" w:rsidRDefault="00000000" w:rsidRPr="00000000" w14:paraId="00000026">
      <w:pPr>
        <w:pStyle w:val="Heading2"/>
        <w:widowControl w:val="0"/>
        <w:numPr>
          <w:ilvl w:val="0"/>
          <w:numId w:val="1"/>
        </w:numPr>
        <w:ind w:left="1440" w:hanging="360"/>
        <w:rPr/>
      </w:pPr>
      <w:bookmarkStart w:colFirst="0" w:colLast="0" w:name="_yycb1qjw6s85" w:id="3"/>
      <w:bookmarkEnd w:id="3"/>
      <w:r w:rsidDel="00000000" w:rsidR="00000000" w:rsidRPr="00000000">
        <w:rPr>
          <w:rtl w:val="0"/>
        </w:rPr>
        <w:t xml:space="preserve">Contexte de la SAE</w:t>
      </w:r>
    </w:p>
    <w:p w:rsidR="00000000" w:rsidDel="00000000" w:rsidP="00000000" w:rsidRDefault="00000000" w:rsidRPr="00000000" w14:paraId="00000027">
      <w:pPr>
        <w:ind w:left="0" w:firstLine="0"/>
        <w:rPr/>
      </w:pPr>
      <w:r w:rsidDel="00000000" w:rsidR="00000000" w:rsidRPr="00000000">
        <w:rPr>
          <w:rtl w:val="0"/>
        </w:rPr>
      </w:r>
    </w:p>
    <w:p w:rsidR="00000000" w:rsidDel="00000000" w:rsidP="00000000" w:rsidRDefault="00000000" w:rsidRPr="00000000" w14:paraId="00000028">
      <w:pPr>
        <w:ind w:left="0" w:firstLine="0"/>
        <w:rPr>
          <w:sz w:val="26"/>
          <w:szCs w:val="26"/>
        </w:rPr>
      </w:pPr>
      <w:r w:rsidDel="00000000" w:rsidR="00000000" w:rsidRPr="00000000">
        <w:rPr>
          <w:sz w:val="26"/>
          <w:szCs w:val="26"/>
          <w:rtl w:val="0"/>
        </w:rPr>
        <w:t xml:space="preserve">Ce projet répond à plusieurs problématiques en même temps. En premier, et sans aucun doute le plus important, cette situation permet de confirmer les acquis et les leçons accumulées depuis le début de cette formation.</w:t>
      </w:r>
    </w:p>
    <w:p w:rsidR="00000000" w:rsidDel="00000000" w:rsidP="00000000" w:rsidRDefault="00000000" w:rsidRPr="00000000" w14:paraId="00000029">
      <w:pPr>
        <w:ind w:left="0" w:firstLine="0"/>
        <w:rPr>
          <w:sz w:val="26"/>
          <w:szCs w:val="26"/>
        </w:rPr>
      </w:pPr>
      <w:r w:rsidDel="00000000" w:rsidR="00000000" w:rsidRPr="00000000">
        <w:rPr>
          <w:rtl w:val="0"/>
        </w:rPr>
      </w:r>
    </w:p>
    <w:p w:rsidR="00000000" w:rsidDel="00000000" w:rsidP="00000000" w:rsidRDefault="00000000" w:rsidRPr="00000000" w14:paraId="0000002A">
      <w:pPr>
        <w:ind w:left="0" w:firstLine="0"/>
        <w:rPr>
          <w:sz w:val="26"/>
          <w:szCs w:val="26"/>
        </w:rPr>
      </w:pPr>
      <w:r w:rsidDel="00000000" w:rsidR="00000000" w:rsidRPr="00000000">
        <w:rPr>
          <w:sz w:val="26"/>
          <w:szCs w:val="26"/>
          <w:rtl w:val="0"/>
        </w:rPr>
        <w:t xml:space="preserve">Si jusqu’à cette année les sujet et les missions nous étaient entièrement données, ici il nous ait demandé de conceptualiser le produit, en dégager ses fonctions et à quel besoin il répond, puis comment réaliser ce produit, à travers des tests, des études et une synthétisation de nos connaissances pour pouvoir les appliquer.</w:t>
      </w:r>
    </w:p>
    <w:p w:rsidR="00000000" w:rsidDel="00000000" w:rsidP="00000000" w:rsidRDefault="00000000" w:rsidRPr="00000000" w14:paraId="0000002B">
      <w:pPr>
        <w:ind w:left="0" w:firstLine="0"/>
        <w:rPr>
          <w:sz w:val="26"/>
          <w:szCs w:val="26"/>
        </w:rPr>
      </w:pPr>
      <w:r w:rsidDel="00000000" w:rsidR="00000000" w:rsidRPr="00000000">
        <w:rPr>
          <w:rtl w:val="0"/>
        </w:rPr>
      </w:r>
    </w:p>
    <w:p w:rsidR="00000000" w:rsidDel="00000000" w:rsidP="00000000" w:rsidRDefault="00000000" w:rsidRPr="00000000" w14:paraId="0000002C">
      <w:pPr>
        <w:ind w:left="0" w:firstLine="0"/>
        <w:rPr/>
      </w:pPr>
      <w:r w:rsidDel="00000000" w:rsidR="00000000" w:rsidRPr="00000000">
        <w:rPr>
          <w:sz w:val="26"/>
          <w:szCs w:val="26"/>
          <w:rtl w:val="0"/>
        </w:rPr>
        <w:t xml:space="preserve">La deuxième problématique est, comme une suite logique à la première, de simuler une situation d’entreprise voulant créer un bien ou un service. En effet, même à notre échelle, il faut que notre produit soit utilisable bien après notre passage dans l’établissement. Ce projet nous incite à commencer à penser comme un futur ingénieur, qui peut conceptualiser, déterminer les limites, et concevoir le produit demandé.</w:t>
      </w:r>
      <w:r w:rsidDel="00000000" w:rsidR="00000000" w:rsidRPr="00000000">
        <w:rPr>
          <w:rtl w:val="0"/>
        </w:rPr>
      </w:r>
    </w:p>
    <w:p w:rsidR="00000000" w:rsidDel="00000000" w:rsidP="00000000" w:rsidRDefault="00000000" w:rsidRPr="00000000" w14:paraId="0000002D">
      <w:pPr>
        <w:pStyle w:val="Heading2"/>
        <w:numPr>
          <w:ilvl w:val="0"/>
          <w:numId w:val="1"/>
        </w:numPr>
        <w:ind w:left="1440" w:hanging="360"/>
        <w:rPr>
          <w:u w:val="none"/>
        </w:rPr>
      </w:pPr>
      <w:bookmarkStart w:colFirst="0" w:colLast="0" w:name="_v7ap0q4krokt" w:id="4"/>
      <w:bookmarkEnd w:id="4"/>
      <w:r w:rsidDel="00000000" w:rsidR="00000000" w:rsidRPr="00000000">
        <w:rPr>
          <w:rtl w:val="0"/>
        </w:rPr>
        <w:t xml:space="preserve">Objectifs du produit</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ind w:left="0" w:firstLine="0"/>
        <w:rPr>
          <w:sz w:val="26"/>
          <w:szCs w:val="26"/>
        </w:rPr>
      </w:pPr>
      <w:r w:rsidDel="00000000" w:rsidR="00000000" w:rsidRPr="00000000">
        <w:rPr>
          <w:sz w:val="26"/>
          <w:szCs w:val="26"/>
          <w:rtl w:val="0"/>
        </w:rPr>
        <w:t xml:space="preserve">La guitare électro-acoustique remplit, comme son nom l’indique, deux fonctions: jouer de la guitare de manière acoustique, et de manière électronique.</w:t>
      </w:r>
    </w:p>
    <w:p w:rsidR="00000000" w:rsidDel="00000000" w:rsidP="00000000" w:rsidRDefault="00000000" w:rsidRPr="00000000" w14:paraId="00000030">
      <w:pPr>
        <w:ind w:left="0" w:firstLine="0"/>
        <w:rPr>
          <w:sz w:val="26"/>
          <w:szCs w:val="26"/>
        </w:rPr>
      </w:pPr>
      <w:r w:rsidDel="00000000" w:rsidR="00000000" w:rsidRPr="00000000">
        <w:rPr>
          <w:rtl w:val="0"/>
        </w:rPr>
      </w:r>
    </w:p>
    <w:p w:rsidR="00000000" w:rsidDel="00000000" w:rsidP="00000000" w:rsidRDefault="00000000" w:rsidRPr="00000000" w14:paraId="00000031">
      <w:pPr>
        <w:ind w:left="0" w:firstLine="0"/>
        <w:rPr>
          <w:sz w:val="26"/>
          <w:szCs w:val="26"/>
        </w:rPr>
      </w:pPr>
      <w:r w:rsidDel="00000000" w:rsidR="00000000" w:rsidRPr="00000000">
        <w:rPr>
          <w:sz w:val="26"/>
          <w:szCs w:val="26"/>
          <w:rtl w:val="0"/>
        </w:rPr>
        <w:t xml:space="preserve">La première fonction compte sur le fait de frotter une corde de la guitare au niveau de la caisse de résonance et de pincer cette même corde pour produire un son. La zone ou l'utilisateur doit pincer est en général plus proche du sillet, entre les frêtes. </w:t>
      </w:r>
    </w:p>
    <w:p w:rsidR="00000000" w:rsidDel="00000000" w:rsidP="00000000" w:rsidRDefault="00000000" w:rsidRPr="00000000" w14:paraId="00000032">
      <w:pPr>
        <w:ind w:left="0" w:firstLine="0"/>
        <w:rPr>
          <w:sz w:val="26"/>
          <w:szCs w:val="26"/>
        </w:rPr>
      </w:pPr>
      <w:r w:rsidDel="00000000" w:rsidR="00000000" w:rsidRPr="00000000">
        <w:rPr>
          <w:sz w:val="26"/>
          <w:szCs w:val="26"/>
        </w:rPr>
        <w:drawing>
          <wp:inline distB="114300" distT="114300" distL="114300" distR="114300">
            <wp:extent cx="5731200" cy="5626100"/>
            <wp:effectExtent b="0" l="0" r="0" t="0"/>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731200" cy="5626100"/>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pStyle w:val="Heading3"/>
        <w:rPr/>
      </w:pPr>
      <w:bookmarkStart w:colFirst="0" w:colLast="0" w:name="_e7bibw3ie586" w:id="5"/>
      <w:bookmarkEnd w:id="5"/>
      <w:r w:rsidDel="00000000" w:rsidR="00000000" w:rsidRPr="00000000">
        <w:rPr>
          <w:rtl w:val="0"/>
        </w:rPr>
        <w:t xml:space="preserve">figure 1: composition d’une guitare </w:t>
      </w:r>
    </w:p>
    <w:p w:rsidR="00000000" w:rsidDel="00000000" w:rsidP="00000000" w:rsidRDefault="00000000" w:rsidRPr="00000000" w14:paraId="00000034">
      <w:pPr>
        <w:ind w:left="0" w:firstLine="0"/>
        <w:rPr>
          <w:sz w:val="26"/>
          <w:szCs w:val="26"/>
        </w:rPr>
      </w:pPr>
      <w:r w:rsidDel="00000000" w:rsidR="00000000" w:rsidRPr="00000000">
        <w:rPr>
          <w:rtl w:val="0"/>
        </w:rPr>
      </w:r>
    </w:p>
    <w:p w:rsidR="00000000" w:rsidDel="00000000" w:rsidP="00000000" w:rsidRDefault="00000000" w:rsidRPr="00000000" w14:paraId="00000035">
      <w:pPr>
        <w:ind w:left="0" w:firstLine="0"/>
        <w:rPr>
          <w:sz w:val="26"/>
          <w:szCs w:val="26"/>
        </w:rPr>
      </w:pPr>
      <w:r w:rsidDel="00000000" w:rsidR="00000000" w:rsidRPr="00000000">
        <w:rPr>
          <w:sz w:val="26"/>
          <w:szCs w:val="26"/>
          <w:rtl w:val="0"/>
        </w:rPr>
        <w:t xml:space="preserve">La deuxième fonction consiste à faire jouer la guitare automatiquement, à travers un système électronique qui peut être alimenté par secteur ou par des batteries, le permettant d'être embarqué. Cette partie est nécessaire puisque l'électronique embarquée est la suite logique de notre formation et que le futur des technologies, notamment à petite échelle physique, se concentrera sur la portabilité et les différents environnements possibles.</w:t>
      </w:r>
    </w:p>
    <w:p w:rsidR="00000000" w:rsidDel="00000000" w:rsidP="00000000" w:rsidRDefault="00000000" w:rsidRPr="00000000" w14:paraId="00000036">
      <w:pPr>
        <w:ind w:left="0" w:firstLine="0"/>
        <w:rPr>
          <w:sz w:val="26"/>
          <w:szCs w:val="26"/>
        </w:rPr>
      </w:pPr>
      <w:r w:rsidDel="00000000" w:rsidR="00000000" w:rsidRPr="00000000">
        <w:rPr>
          <w:rtl w:val="0"/>
        </w:rPr>
      </w:r>
    </w:p>
    <w:p w:rsidR="00000000" w:rsidDel="00000000" w:rsidP="00000000" w:rsidRDefault="00000000" w:rsidRPr="00000000" w14:paraId="00000037">
      <w:pPr>
        <w:ind w:left="0" w:firstLine="0"/>
        <w:rPr/>
      </w:pPr>
      <w:r w:rsidDel="00000000" w:rsidR="00000000" w:rsidRPr="00000000">
        <w:rPr>
          <w:rtl w:val="0"/>
        </w:rPr>
      </w:r>
    </w:p>
    <w:p w:rsidR="00000000" w:rsidDel="00000000" w:rsidP="00000000" w:rsidRDefault="00000000" w:rsidRPr="00000000" w14:paraId="00000038">
      <w:pPr>
        <w:pStyle w:val="Heading1"/>
        <w:widowControl w:val="0"/>
        <w:rPr/>
      </w:pPr>
      <w:bookmarkStart w:colFirst="0" w:colLast="0" w:name="_m9s8q57wooka" w:id="6"/>
      <w:bookmarkEnd w:id="6"/>
      <w:r w:rsidDel="00000000" w:rsidR="00000000" w:rsidRPr="00000000">
        <w:rPr>
          <w:rtl w:val="0"/>
        </w:rPr>
        <w:t xml:space="preserve">II - Schématisation des fonctions</w:t>
      </w:r>
    </w:p>
    <w:p w:rsidR="00000000" w:rsidDel="00000000" w:rsidP="00000000" w:rsidRDefault="00000000" w:rsidRPr="00000000" w14:paraId="00000039">
      <w:pPr>
        <w:pStyle w:val="Heading2"/>
        <w:numPr>
          <w:ilvl w:val="0"/>
          <w:numId w:val="2"/>
        </w:numPr>
        <w:ind w:left="720" w:hanging="360"/>
        <w:rPr>
          <w:u w:val="none"/>
        </w:rPr>
      </w:pPr>
      <w:bookmarkStart w:colFirst="0" w:colLast="0" w:name="_r7370id3e0sk" w:id="7"/>
      <w:bookmarkEnd w:id="7"/>
      <w:r w:rsidDel="00000000" w:rsidR="00000000" w:rsidRPr="00000000">
        <w:rPr>
          <w:rtl w:val="0"/>
        </w:rPr>
        <w:t xml:space="preserve">Méthode FAST</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sz w:val="26"/>
          <w:szCs w:val="26"/>
        </w:rPr>
      </w:pPr>
      <w:r w:rsidDel="00000000" w:rsidR="00000000" w:rsidRPr="00000000">
        <w:rPr>
          <w:sz w:val="26"/>
          <w:szCs w:val="26"/>
          <w:rtl w:val="0"/>
        </w:rPr>
        <w:t xml:space="preserve">En utilisant la méthode FAST, on peut schématiser les fonctions principales de manière linéaire, comme une sorte de progression temporelle:</w:t>
      </w:r>
    </w:p>
    <w:p w:rsidR="00000000" w:rsidDel="00000000" w:rsidP="00000000" w:rsidRDefault="00000000" w:rsidRPr="00000000" w14:paraId="0000003C">
      <w:pPr>
        <w:rPr/>
      </w:pPr>
      <w:r w:rsidDel="00000000" w:rsidR="00000000" w:rsidRPr="00000000">
        <w:rPr/>
        <w:drawing>
          <wp:inline distB="114300" distT="114300" distL="114300" distR="114300">
            <wp:extent cx="3448050" cy="6619875"/>
            <wp:effectExtent b="0" l="0" r="0" t="0"/>
            <wp:docPr id="1" name="image4.jpg"/>
            <a:graphic>
              <a:graphicData uri="http://schemas.openxmlformats.org/drawingml/2006/picture">
                <pic:pic>
                  <pic:nvPicPr>
                    <pic:cNvPr id="0" name="image4.jpg"/>
                    <pic:cNvPicPr preferRelativeResize="0"/>
                  </pic:nvPicPr>
                  <pic:blipFill>
                    <a:blip r:embed="rId8"/>
                    <a:srcRect b="7050" l="39867" r="0" t="11280"/>
                    <a:stretch>
                      <a:fillRect/>
                    </a:stretch>
                  </pic:blipFill>
                  <pic:spPr>
                    <a:xfrm rot="16200000">
                      <a:off x="0" y="0"/>
                      <a:ext cx="3448050" cy="6619875"/>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pStyle w:val="Heading3"/>
        <w:rPr/>
      </w:pPr>
      <w:bookmarkStart w:colFirst="0" w:colLast="0" w:name="_mhu704qdw20c" w:id="8"/>
      <w:bookmarkEnd w:id="8"/>
      <w:r w:rsidDel="00000000" w:rsidR="00000000" w:rsidRPr="00000000">
        <w:rPr>
          <w:rtl w:val="0"/>
        </w:rPr>
        <w:t xml:space="preserve">figure 2: Schéma FAST des fonctions techniques</w:t>
      </w:r>
    </w:p>
    <w:p w:rsidR="00000000" w:rsidDel="00000000" w:rsidP="00000000" w:rsidRDefault="00000000" w:rsidRPr="00000000" w14:paraId="0000003E">
      <w:pPr>
        <w:pStyle w:val="Heading2"/>
        <w:numPr>
          <w:ilvl w:val="0"/>
          <w:numId w:val="2"/>
        </w:numPr>
        <w:ind w:left="720" w:hanging="360"/>
        <w:rPr>
          <w:u w:val="none"/>
        </w:rPr>
      </w:pPr>
      <w:bookmarkStart w:colFirst="0" w:colLast="0" w:name="_5mmp2qbjud6x" w:id="9"/>
      <w:bookmarkEnd w:id="9"/>
      <w:r w:rsidDel="00000000" w:rsidR="00000000" w:rsidRPr="00000000">
        <w:rPr>
          <w:rtl w:val="0"/>
        </w:rPr>
        <w:t xml:space="preserve">Organigramme</w:t>
      </w:r>
    </w:p>
    <w:p w:rsidR="00000000" w:rsidDel="00000000" w:rsidP="00000000" w:rsidRDefault="00000000" w:rsidRPr="00000000" w14:paraId="0000003F">
      <w:pPr>
        <w:rPr/>
      </w:pPr>
      <w:r w:rsidDel="00000000" w:rsidR="00000000" w:rsidRPr="00000000">
        <w:rPr/>
        <w:drawing>
          <wp:inline distB="114300" distT="114300" distL="114300" distR="114300">
            <wp:extent cx="5731200" cy="3162300"/>
            <wp:effectExtent b="0" l="0" r="0" t="0"/>
            <wp:docPr id="4"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731200" cy="3162300"/>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pStyle w:val="Heading3"/>
        <w:rPr/>
      </w:pPr>
      <w:bookmarkStart w:colFirst="0" w:colLast="0" w:name="_jivl0t7nnfit" w:id="10"/>
      <w:bookmarkEnd w:id="10"/>
      <w:r w:rsidDel="00000000" w:rsidR="00000000" w:rsidRPr="00000000">
        <w:rPr>
          <w:rtl w:val="0"/>
        </w:rPr>
        <w:t xml:space="preserve">figure 3: Organigramme Technique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pStyle w:val="Heading1"/>
        <w:widowControl w:val="0"/>
        <w:rPr/>
      </w:pPr>
      <w:bookmarkStart w:colFirst="0" w:colLast="0" w:name="_8z3fwi8bb3up" w:id="11"/>
      <w:bookmarkEnd w:id="11"/>
      <w:r w:rsidDel="00000000" w:rsidR="00000000" w:rsidRPr="00000000">
        <w:rPr>
          <w:rtl w:val="0"/>
        </w:rPr>
        <w:t xml:space="preserve">III - Structuration des missions durant l’année</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(gantt des missions à placer ici)</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Style w:val="Heading1"/>
        <w:rPr/>
      </w:pPr>
      <w:bookmarkStart w:colFirst="0" w:colLast="0" w:name="_4a00wf7gjz7v" w:id="12"/>
      <w:bookmarkEnd w:id="12"/>
      <w:r w:rsidDel="00000000" w:rsidR="00000000" w:rsidRPr="00000000">
        <w:rPr>
          <w:rtl w:val="0"/>
        </w:rPr>
        <w:t xml:space="preserve">IV - Sources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hyperlink r:id="rId10">
        <w:r w:rsidDel="00000000" w:rsidR="00000000" w:rsidRPr="00000000">
          <w:rPr>
            <w:color w:val="1155cc"/>
            <w:u w:val="single"/>
            <w:rtl w:val="0"/>
          </w:rPr>
          <w:t xml:space="preserve">https://www.magicguitare.com/2020/08/10/parties-de-la-guitare/</w:t>
        </w:r>
      </w:hyperlink>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sectPr>
      <w:headerReference r:id="rId11" w:type="default"/>
      <w:footerReference r:id="rId12"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jc w:val="left"/>
      <w:rPr/>
    </w:pPr>
    <w:r w:rsidDel="00000000" w:rsidR="00000000" w:rsidRPr="00000000">
      <w:rPr>
        <w:b w:val="1"/>
        <w:rtl w:val="0"/>
      </w:rPr>
      <w:t xml:space="preserve">Version 1.0 - 21/10/24 </w:t>
      <w:tab/>
      <w:tab/>
      <w:tab/>
      <w:tab/>
      <w:t xml:space="preserve">       </w:t>
    </w:r>
    <w:r w:rsidDel="00000000" w:rsidR="00000000" w:rsidRPr="00000000">
      <w:rPr>
        <w:rtl w:val="0"/>
      </w:rPr>
      <w:t xml:space="preserve">IUT de Neuville - Département GE2I</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rPr/>
    </w:pPr>
    <w:r w:rsidDel="00000000" w:rsidR="00000000" w:rsidRPr="00000000">
      <w:rPr>
        <w:rtl w:val="0"/>
      </w:rPr>
      <w:t xml:space="preserve">Lathro-Seri Nathan </w:t>
      <w:tab/>
      <w:tab/>
      <w:tab/>
    </w:r>
    <w:r w:rsidDel="00000000" w:rsidR="00000000" w:rsidRPr="00000000">
      <w:rPr>
        <w:b w:val="1"/>
        <w:rtl w:val="0"/>
      </w:rPr>
      <w:t xml:space="preserve">SAE S5/S6                            </w:t>
      <w:tab/>
      <w:tab/>
      <w:t xml:space="preserve">        </w:t>
    </w:r>
    <w:r w:rsidDel="00000000" w:rsidR="00000000" w:rsidRPr="00000000">
      <w:rPr>
        <w:rtl w:val="0"/>
      </w:rPr>
      <w:t xml:space="preserve">BUT3 ESE FI</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Calibri" w:cs="Calibri" w:eastAsia="Calibri" w:hAnsi="Calibri"/>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magicguitare.com/2020/08/10/parties-de-la-guitare/" TargetMode="External"/><Relationship Id="rId12" Type="http://schemas.openxmlformats.org/officeDocument/2006/relationships/footer" Target="foot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